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DF" w:rsidRDefault="00F15437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Anexo</w:t>
      </w:r>
    </w:p>
    <w:p w:rsidR="005568DF" w:rsidRDefault="00F15437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Adaptación de la programación didáctica del módulo durante para el tercer trimestre del curso 19/20</w:t>
      </w: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Pr="00090F12" w:rsidRDefault="00F15437">
      <w:pPr>
        <w:pStyle w:val="normal0"/>
        <w:spacing w:before="240" w:after="240" w:line="48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Ciclo: </w:t>
      </w:r>
      <w:r w:rsidRPr="00090F12">
        <w:rPr>
          <w:b/>
          <w:sz w:val="40"/>
          <w:szCs w:val="40"/>
        </w:rPr>
        <w:t>Sistemas Microinformáticos y Redes</w:t>
      </w:r>
    </w:p>
    <w:p w:rsidR="005568DF" w:rsidRPr="00090F12" w:rsidRDefault="00F15437">
      <w:pPr>
        <w:pStyle w:val="normal0"/>
        <w:spacing w:before="240" w:after="240" w:line="48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Grupo: </w:t>
      </w:r>
      <w:r w:rsidR="00B90630">
        <w:rPr>
          <w:b/>
          <w:sz w:val="40"/>
          <w:szCs w:val="40"/>
        </w:rPr>
        <w:t>SMR2</w:t>
      </w:r>
    </w:p>
    <w:p w:rsidR="005568DF" w:rsidRPr="00090F12" w:rsidRDefault="00F15437">
      <w:pPr>
        <w:pStyle w:val="normal0"/>
        <w:spacing w:before="240" w:after="240" w:line="48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Módulo: </w:t>
      </w:r>
      <w:proofErr w:type="gramStart"/>
      <w:r w:rsidR="00B90630">
        <w:rPr>
          <w:b/>
          <w:sz w:val="40"/>
          <w:szCs w:val="40"/>
        </w:rPr>
        <w:t>Inglés</w:t>
      </w:r>
      <w:proofErr w:type="gramEnd"/>
      <w:r w:rsidR="00B90630">
        <w:rPr>
          <w:b/>
          <w:sz w:val="40"/>
          <w:szCs w:val="40"/>
        </w:rPr>
        <w:t xml:space="preserve"> 2</w:t>
      </w: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F15437">
      <w:pPr>
        <w:pStyle w:val="normal0"/>
        <w:jc w:val="both"/>
      </w:pPr>
      <w:r>
        <w:t xml:space="preserve">Según la </w:t>
      </w:r>
    </w:p>
    <w:p w:rsidR="005568DF" w:rsidRDefault="005568DF">
      <w:pPr>
        <w:pStyle w:val="normal0"/>
        <w:jc w:val="both"/>
        <w:rPr>
          <w:i/>
        </w:rPr>
      </w:pPr>
    </w:p>
    <w:p w:rsidR="005568DF" w:rsidRDefault="00F15437">
      <w:pPr>
        <w:pStyle w:val="normal0"/>
        <w:ind w:left="720" w:right="728"/>
        <w:jc w:val="both"/>
      </w:pPr>
      <w:r>
        <w:rPr>
          <w:i/>
        </w:rPr>
        <w:t>ORDEN ECD/357/2020, de 29 de abril, por la que se establecen las directrices de actuación para el desarrollo del tercer trimestre del curso escolar 2019/2020 y la flexibilización de los procesos de evaluación en los diferentes niveles y regímenes de enseñanza</w:t>
      </w:r>
      <w:r>
        <w:t xml:space="preserve">, </w:t>
      </w:r>
    </w:p>
    <w:p w:rsidR="005568DF" w:rsidRDefault="005568DF">
      <w:pPr>
        <w:pStyle w:val="normal0"/>
        <w:jc w:val="both"/>
      </w:pPr>
    </w:p>
    <w:p w:rsidR="005568DF" w:rsidRDefault="00F15437">
      <w:pPr>
        <w:pStyle w:val="normal0"/>
        <w:jc w:val="both"/>
      </w:pPr>
      <w:proofErr w:type="gramStart"/>
      <w:r>
        <w:t>en</w:t>
      </w:r>
      <w:proofErr w:type="gramEnd"/>
      <w:r>
        <w:t xml:space="preserve"> su </w:t>
      </w:r>
      <w:r>
        <w:rPr>
          <w:i/>
        </w:rPr>
        <w:t>anexo IV</w:t>
      </w:r>
      <w:r>
        <w:t xml:space="preserve"> punto </w:t>
      </w:r>
      <w:r>
        <w:rPr>
          <w:i/>
        </w:rPr>
        <w:t>1.2 Programaciones y contenidos para trabajar en el tercer trimestre</w:t>
      </w:r>
      <w:r>
        <w:t xml:space="preserve"> el profesorado deberá realizar una </w:t>
      </w:r>
    </w:p>
    <w:p w:rsidR="005568DF" w:rsidRDefault="005568DF">
      <w:pPr>
        <w:pStyle w:val="normal0"/>
        <w:jc w:val="both"/>
        <w:rPr>
          <w:i/>
        </w:rPr>
      </w:pPr>
    </w:p>
    <w:p w:rsidR="005568DF" w:rsidRDefault="00F15437">
      <w:pPr>
        <w:pStyle w:val="normal0"/>
        <w:ind w:left="720" w:right="728"/>
        <w:jc w:val="both"/>
        <w:rPr>
          <w:i/>
        </w:rPr>
      </w:pPr>
      <w:proofErr w:type="gramStart"/>
      <w:r>
        <w:rPr>
          <w:i/>
        </w:rPr>
        <w:t>adaptación</w:t>
      </w:r>
      <w:proofErr w:type="gramEnd"/>
      <w:r>
        <w:rPr>
          <w:i/>
        </w:rPr>
        <w:t xml:space="preserve"> de las programaciones didácticas de cada módulo resultados de aprendizaje a alcanzar, criterios de evaluación, procedimientos e instrumentos de evaluación empleados, criterios de calificación, mínimos exigibles, etc.)</w:t>
      </w: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F15437">
      <w:pPr>
        <w:pStyle w:val="normal0"/>
        <w:jc w:val="both"/>
      </w:pPr>
      <w:r>
        <w:br w:type="page"/>
      </w:r>
    </w:p>
    <w:p w:rsidR="005568DF" w:rsidRDefault="00F15437">
      <w:pPr>
        <w:pStyle w:val="normal0"/>
        <w:jc w:val="both"/>
      </w:pPr>
      <w:r>
        <w:lastRenderedPageBreak/>
        <w:t>Índice de los apartados que han sufrido cambios:</w:t>
      </w: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Criterios de evaluación y calificación del módulo.</w:t>
      </w:r>
    </w:p>
    <w:p w:rsidR="005568DF" w:rsidRDefault="005568DF">
      <w:pPr>
        <w:pStyle w:val="normal0"/>
        <w:ind w:left="720"/>
        <w:jc w:val="both"/>
        <w:rPr>
          <w:b/>
          <w:sz w:val="24"/>
          <w:szCs w:val="24"/>
        </w:rPr>
      </w:pP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Procedimientos e instrumentos de evaluación.</w:t>
      </w:r>
    </w:p>
    <w:p w:rsidR="005568DF" w:rsidRDefault="005568DF">
      <w:pPr>
        <w:pStyle w:val="normal0"/>
        <w:ind w:left="720"/>
        <w:jc w:val="both"/>
        <w:rPr>
          <w:b/>
          <w:sz w:val="24"/>
          <w:szCs w:val="24"/>
        </w:rPr>
      </w:pP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Materiales y recursos didácticos.</w:t>
      </w:r>
    </w:p>
    <w:p w:rsidR="005568DF" w:rsidRDefault="005568DF">
      <w:pPr>
        <w:pStyle w:val="normal0"/>
        <w:ind w:left="720"/>
        <w:jc w:val="both"/>
        <w:rPr>
          <w:b/>
          <w:sz w:val="24"/>
          <w:szCs w:val="24"/>
        </w:rPr>
      </w:pP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Control de modificaciones.</w:t>
      </w:r>
      <w:r>
        <w:rPr>
          <w:b/>
          <w:sz w:val="24"/>
          <w:szCs w:val="24"/>
        </w:rPr>
        <w:tab/>
      </w:r>
    </w:p>
    <w:p w:rsidR="005568DF" w:rsidRDefault="005568DF">
      <w:pPr>
        <w:pStyle w:val="normal0"/>
        <w:jc w:val="both"/>
      </w:pPr>
    </w:p>
    <w:p w:rsidR="005568DF" w:rsidRDefault="00F15437">
      <w:pPr>
        <w:pStyle w:val="normal0"/>
      </w:pPr>
      <w:r>
        <w:br w:type="page"/>
      </w:r>
    </w:p>
    <w:p w:rsidR="006D3CF9" w:rsidRDefault="006D3CF9">
      <w:pPr>
        <w:pStyle w:val="normal0"/>
        <w:jc w:val="both"/>
      </w:pPr>
    </w:p>
    <w:p w:rsidR="005568DF" w:rsidRDefault="00F15437">
      <w:pPr>
        <w:pStyle w:val="normal0"/>
        <w:jc w:val="both"/>
      </w:pPr>
      <w:r>
        <w:tab/>
      </w:r>
      <w:r>
        <w:tab/>
      </w: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Criterios de evaluación y calificación del módulo.</w:t>
      </w:r>
      <w:r>
        <w:rPr>
          <w:b/>
          <w:sz w:val="36"/>
          <w:szCs w:val="36"/>
        </w:rPr>
        <w:tab/>
      </w:r>
    </w:p>
    <w:p w:rsidR="005568DF" w:rsidRDefault="005568DF">
      <w:pPr>
        <w:pStyle w:val="normal0"/>
        <w:ind w:left="720"/>
        <w:jc w:val="both"/>
      </w:pPr>
    </w:p>
    <w:p w:rsidR="005568DF" w:rsidRDefault="005568DF" w:rsidP="004D0574">
      <w:pPr>
        <w:pStyle w:val="normal0"/>
        <w:ind w:left="1440"/>
        <w:jc w:val="both"/>
        <w:rPr>
          <w:b/>
        </w:rPr>
      </w:pPr>
    </w:p>
    <w:p w:rsidR="005568DF" w:rsidRDefault="00F15437" w:rsidP="004D0574">
      <w:pPr>
        <w:pStyle w:val="normal0"/>
        <w:ind w:left="720"/>
        <w:jc w:val="both"/>
        <w:rPr>
          <w:b/>
        </w:rPr>
      </w:pPr>
      <w:r>
        <w:rPr>
          <w:b/>
          <w:sz w:val="28"/>
          <w:szCs w:val="28"/>
        </w:rPr>
        <w:t>Pruebas ordinaria primera y segunda de junio para alumnos con evaluación continua.</w:t>
      </w:r>
      <w:r>
        <w:rPr>
          <w:b/>
        </w:rPr>
        <w:tab/>
      </w: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ind w:left="720"/>
        <w:jc w:val="both"/>
      </w:pPr>
      <w:r>
        <w:t xml:space="preserve">La </w:t>
      </w:r>
      <w:r>
        <w:rPr>
          <w:b/>
        </w:rPr>
        <w:t xml:space="preserve">primera </w:t>
      </w:r>
      <w:r>
        <w:t xml:space="preserve">convocatoria ordinaria </w:t>
      </w:r>
      <w:r w:rsidR="00B90630">
        <w:t xml:space="preserve">se realizo antes de la declaración del estado de alarma, por lo que no se ve afectada por este anexo. </w:t>
      </w:r>
    </w:p>
    <w:p w:rsidR="005568DF" w:rsidRDefault="005568DF">
      <w:pPr>
        <w:pStyle w:val="normal0"/>
        <w:ind w:left="720"/>
        <w:jc w:val="both"/>
      </w:pPr>
    </w:p>
    <w:p w:rsidR="005568DF" w:rsidRPr="00DA6B26" w:rsidRDefault="00F15437">
      <w:pPr>
        <w:pStyle w:val="normal0"/>
        <w:ind w:left="720"/>
        <w:jc w:val="both"/>
      </w:pPr>
      <w:r>
        <w:t xml:space="preserve">La </w:t>
      </w:r>
      <w:r>
        <w:rPr>
          <w:b/>
        </w:rPr>
        <w:t xml:space="preserve">segunda </w:t>
      </w:r>
      <w:r>
        <w:t>convocatoria ordinaria tendrá lugar antes del 22 de junio de 2020.</w:t>
      </w:r>
      <w:r w:rsidR="004D0574">
        <w:t xml:space="preserve"> </w:t>
      </w:r>
      <w:r w:rsidRPr="00DA6B26">
        <w:t>Deberán presentarse a esta convocatoria todos los alumnos que no hayan aprobado el módulo por evaluación continua o en la primera convocatoria ordinaria.</w:t>
      </w:r>
    </w:p>
    <w:p w:rsidR="005568DF" w:rsidRPr="00DA6B26" w:rsidRDefault="005568DF">
      <w:pPr>
        <w:pStyle w:val="normal0"/>
        <w:ind w:left="720"/>
        <w:jc w:val="both"/>
      </w:pPr>
    </w:p>
    <w:p w:rsidR="005568DF" w:rsidRPr="00DA6B26" w:rsidRDefault="00F15437">
      <w:pPr>
        <w:pStyle w:val="normal0"/>
        <w:ind w:left="720"/>
        <w:jc w:val="both"/>
      </w:pPr>
      <w:r w:rsidRPr="00DA6B26">
        <w:t>Hasta la realización de la segunda convocatoria de evaluación final, el alumnado</w:t>
      </w:r>
      <w:r w:rsidR="00DA6B26" w:rsidRPr="00DA6B26">
        <w:t xml:space="preserve"> recibirá las orientaciones necesarias para finalizar las tareas pendientes o corregir las tareas que no se han realizado correctamente. </w:t>
      </w:r>
    </w:p>
    <w:p w:rsidR="00DA6B26" w:rsidRPr="00DA6B26" w:rsidRDefault="00DA6B26">
      <w:pPr>
        <w:pStyle w:val="normal0"/>
        <w:ind w:left="720"/>
        <w:jc w:val="both"/>
      </w:pPr>
    </w:p>
    <w:p w:rsidR="00B90630" w:rsidRPr="00DA6B26" w:rsidRDefault="00F15437" w:rsidP="00DA6B26">
      <w:pPr>
        <w:pStyle w:val="normal0"/>
        <w:ind w:left="720"/>
        <w:jc w:val="both"/>
      </w:pPr>
      <w:r w:rsidRPr="00DA6B26">
        <w:t xml:space="preserve">La nota de la segunda convocatoria se calculará </w:t>
      </w:r>
      <w:r w:rsidR="00DA6B26" w:rsidRPr="00DA6B26">
        <w:t xml:space="preserve">en función de las tareas enviadas </w:t>
      </w:r>
      <w:r w:rsidR="00B90630">
        <w:t xml:space="preserve">a Moodle </w:t>
      </w:r>
      <w:r w:rsidR="00DA6B26" w:rsidRPr="00DA6B26">
        <w:t>y un examen presencial. Si no fuese posible la realización del examen por no estar abierto el instituto, la evaluación se realizaría en función de las tareas enviadas</w:t>
      </w:r>
      <w:r w:rsidR="00B90630">
        <w:t xml:space="preserve"> a Moodle</w:t>
      </w:r>
      <w:r w:rsidR="00DA6B26" w:rsidRPr="00DA6B26">
        <w:t>.</w:t>
      </w:r>
      <w:r w:rsidR="004D0574">
        <w:t xml:space="preserve"> </w:t>
      </w:r>
      <w:r w:rsidR="00B90630">
        <w:t xml:space="preserve">Las tareas indicadas en Moodle para recuperar la asignatura son las siguientes: </w:t>
      </w:r>
      <w:r w:rsidR="00B90630" w:rsidRPr="00B90630">
        <w:t xml:space="preserve">Google </w:t>
      </w:r>
      <w:proofErr w:type="spellStart"/>
      <w:r w:rsidR="00B90630" w:rsidRPr="00B90630">
        <w:t>Docs</w:t>
      </w:r>
      <w:proofErr w:type="spellEnd"/>
      <w:r w:rsidR="00B90630" w:rsidRPr="00B90630">
        <w:t xml:space="preserve"> Screencast, Linux Screencast, </w:t>
      </w:r>
      <w:proofErr w:type="spellStart"/>
      <w:r w:rsidR="00B90630" w:rsidRPr="00B90630">
        <w:t>Screencasts</w:t>
      </w:r>
      <w:proofErr w:type="spellEnd"/>
      <w:r w:rsidR="00B90630" w:rsidRPr="00B90630">
        <w:t xml:space="preserve"> </w:t>
      </w:r>
      <w:proofErr w:type="spellStart"/>
      <w:r w:rsidR="00B90630" w:rsidRPr="00B90630">
        <w:t>about</w:t>
      </w:r>
      <w:proofErr w:type="spellEnd"/>
      <w:r w:rsidR="00B90630" w:rsidRPr="00B90630">
        <w:t xml:space="preserve"> </w:t>
      </w:r>
      <w:proofErr w:type="spellStart"/>
      <w:r w:rsidR="00B90630" w:rsidRPr="00B90630">
        <w:t>the</w:t>
      </w:r>
      <w:proofErr w:type="spellEnd"/>
      <w:r w:rsidR="00B90630" w:rsidRPr="00B90630">
        <w:t xml:space="preserve"> P5Q SE </w:t>
      </w:r>
      <w:proofErr w:type="spellStart"/>
      <w:r w:rsidR="00B90630" w:rsidRPr="00B90630">
        <w:t>Motherboard</w:t>
      </w:r>
      <w:proofErr w:type="spellEnd"/>
      <w:r w:rsidR="00B90630" w:rsidRPr="00B90630">
        <w:t xml:space="preserve">, 3 videos </w:t>
      </w:r>
      <w:proofErr w:type="spellStart"/>
      <w:r w:rsidR="00B90630" w:rsidRPr="00B90630">
        <w:t>about</w:t>
      </w:r>
      <w:proofErr w:type="spellEnd"/>
      <w:r w:rsidR="00B90630" w:rsidRPr="00B90630">
        <w:t xml:space="preserve"> </w:t>
      </w:r>
      <w:proofErr w:type="spellStart"/>
      <w:r w:rsidR="00B90630" w:rsidRPr="00B90630">
        <w:t>fixing</w:t>
      </w:r>
      <w:proofErr w:type="spellEnd"/>
      <w:r w:rsidR="00B90630" w:rsidRPr="00B90630">
        <w:t xml:space="preserve"> </w:t>
      </w:r>
      <w:proofErr w:type="spellStart"/>
      <w:r w:rsidR="00B90630" w:rsidRPr="00B90630">
        <w:t>computers</w:t>
      </w:r>
      <w:proofErr w:type="spellEnd"/>
      <w:r w:rsidR="00B90630" w:rsidRPr="00B90630">
        <w:t xml:space="preserve"> (cambio de módulos RAM, cambio de disco duro, cambio de PSU)</w:t>
      </w:r>
      <w:r w:rsidR="00B90630">
        <w:t xml:space="preserve">. </w:t>
      </w:r>
    </w:p>
    <w:p w:rsidR="005568DF" w:rsidRPr="00DA6B26" w:rsidRDefault="00DA6B26" w:rsidP="00DA6B26">
      <w:pPr>
        <w:pStyle w:val="normal0"/>
        <w:ind w:left="720"/>
        <w:jc w:val="both"/>
      </w:pPr>
      <w:r w:rsidRPr="00DA6B26">
        <w:t xml:space="preserve"> </w:t>
      </w:r>
    </w:p>
    <w:p w:rsidR="005568DF" w:rsidRPr="00DA6B26" w:rsidRDefault="00F15437">
      <w:pPr>
        <w:pStyle w:val="normal0"/>
        <w:ind w:left="720"/>
        <w:jc w:val="both"/>
      </w:pPr>
      <w:r w:rsidRPr="00DA6B26">
        <w:t>Esta nota final anulará a todas las obtenidas anteriormente durante el curso.</w:t>
      </w:r>
    </w:p>
    <w:p w:rsidR="005568DF" w:rsidRDefault="005568DF">
      <w:pPr>
        <w:pStyle w:val="normal0"/>
        <w:ind w:left="720"/>
        <w:jc w:val="both"/>
      </w:pPr>
    </w:p>
    <w:p w:rsidR="00B73200" w:rsidRDefault="00B73200">
      <w:pPr>
        <w:rPr>
          <w:b/>
          <w:sz w:val="36"/>
          <w:szCs w:val="36"/>
        </w:rPr>
      </w:pP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Procedimientos e instrumentos de evaluación</w:t>
      </w:r>
      <w:r>
        <w:rPr>
          <w:b/>
          <w:sz w:val="36"/>
          <w:szCs w:val="36"/>
        </w:rPr>
        <w:tab/>
      </w: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114623" w:rsidRDefault="00F15437" w:rsidP="0011462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>A lo largo del tercer trimestre los alumnos realizarán tareas y trabajos en sus casas que serán entregados al profesor de forma telemáti</w:t>
      </w:r>
      <w:r w:rsidR="00114623">
        <w:t>ca para su evaluación</w:t>
      </w:r>
      <w:r>
        <w:t>.</w:t>
      </w:r>
      <w:r w:rsidR="00114623">
        <w:t xml:space="preserve"> Las actividades realizadas de forma telemática, se utilizarán para controlar el avance de los conocimientos individuales de cada alumno por sí es necesaria una profundización personalizada.</w:t>
      </w:r>
    </w:p>
    <w:p w:rsidR="005568DF" w:rsidRDefault="005568DF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5568DF" w:rsidRDefault="00F15437" w:rsidP="004D0574">
      <w:pPr>
        <w:pStyle w:val="normal0"/>
        <w:ind w:left="720"/>
        <w:jc w:val="both"/>
      </w:pPr>
      <w:r>
        <w:t>Además</w:t>
      </w:r>
      <w:r w:rsidR="004D0574">
        <w:t>, podrá haber una prueba de presentación oral</w:t>
      </w:r>
      <w:r>
        <w:t xml:space="preserve"> que se sumará a los tr</w:t>
      </w:r>
      <w:r w:rsidR="00114623">
        <w:t>abajos anteriormente mencionados</w:t>
      </w:r>
      <w:r>
        <w:t xml:space="preserve">. Dependiendo de la evolución del estado de alarma </w:t>
      </w:r>
      <w:r w:rsidR="004D0574">
        <w:t xml:space="preserve">dicha presentación oral podrá realizarse por videoconferencia. </w:t>
      </w:r>
    </w:p>
    <w:p w:rsidR="005568DF" w:rsidRDefault="005568DF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>Materiales y recursos didácticos</w:t>
      </w:r>
      <w:r>
        <w:rPr>
          <w:b/>
          <w:sz w:val="36"/>
          <w:szCs w:val="36"/>
        </w:rPr>
        <w:tab/>
      </w: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ind w:left="720"/>
        <w:jc w:val="both"/>
      </w:pPr>
      <w:r>
        <w:t>Durante el periodo de enseñanza online se han utilizado herramientas informáticas para generar recursos didácticos adaptados a esta modalidad y para realizar comunicaciones telemáticas. Herramientas como:</w:t>
      </w: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numPr>
          <w:ilvl w:val="0"/>
          <w:numId w:val="6"/>
        </w:numPr>
        <w:jc w:val="both"/>
      </w:pPr>
      <w:proofErr w:type="spellStart"/>
      <w:r>
        <w:t>VideoReuniones</w:t>
      </w:r>
      <w:proofErr w:type="spellEnd"/>
      <w:r>
        <w:t xml:space="preserve"> con </w:t>
      </w:r>
      <w:proofErr w:type="spellStart"/>
      <w:r>
        <w:rPr>
          <w:b/>
        </w:rPr>
        <w:t>Meet</w:t>
      </w:r>
      <w:proofErr w:type="spellEnd"/>
      <w:r>
        <w:rPr>
          <w:b/>
        </w:rPr>
        <w:t xml:space="preserve"> </w:t>
      </w:r>
      <w:r>
        <w:t xml:space="preserve">de Google, </w:t>
      </w:r>
      <w:proofErr w:type="spellStart"/>
      <w:r>
        <w:rPr>
          <w:b/>
        </w:rPr>
        <w:t>Jipsi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Meet</w:t>
      </w:r>
      <w:proofErr w:type="spellEnd"/>
      <w:r>
        <w:t xml:space="preserve">, </w:t>
      </w:r>
      <w:proofErr w:type="spellStart"/>
      <w:r>
        <w:rPr>
          <w:b/>
        </w:rPr>
        <w:t>Discord</w:t>
      </w:r>
      <w:proofErr w:type="spellEnd"/>
      <w:r>
        <w:rPr>
          <w:b/>
        </w:rPr>
        <w:t>, Zoom</w:t>
      </w:r>
      <w:r>
        <w:t xml:space="preserve">, </w:t>
      </w:r>
      <w:proofErr w:type="spellStart"/>
      <w:r>
        <w:rPr>
          <w:b/>
        </w:rPr>
        <w:t>BigBlueBotton</w:t>
      </w:r>
      <w:proofErr w:type="spellEnd"/>
      <w:r>
        <w:rPr>
          <w:b/>
        </w:rPr>
        <w:t xml:space="preserve"> </w:t>
      </w:r>
      <w:r>
        <w:t>u otros.</w:t>
      </w:r>
    </w:p>
    <w:p w:rsidR="005568DF" w:rsidRDefault="00F15437">
      <w:pPr>
        <w:pStyle w:val="normal0"/>
        <w:numPr>
          <w:ilvl w:val="0"/>
          <w:numId w:val="6"/>
        </w:numPr>
        <w:jc w:val="both"/>
      </w:pPr>
      <w:r>
        <w:rPr>
          <w:b/>
        </w:rPr>
        <w:t xml:space="preserve">Email, chat y foros </w:t>
      </w:r>
      <w:r>
        <w:t>para resolver dudas.</w:t>
      </w:r>
    </w:p>
    <w:p w:rsidR="005568DF" w:rsidRDefault="00F15437">
      <w:pPr>
        <w:pStyle w:val="normal0"/>
        <w:numPr>
          <w:ilvl w:val="0"/>
          <w:numId w:val="6"/>
        </w:numPr>
        <w:jc w:val="both"/>
      </w:pPr>
      <w:r>
        <w:rPr>
          <w:b/>
        </w:rPr>
        <w:t xml:space="preserve">Screencast o </w:t>
      </w:r>
      <w:proofErr w:type="spellStart"/>
      <w:r>
        <w:rPr>
          <w:b/>
        </w:rPr>
        <w:t>Matic</w:t>
      </w:r>
      <w:proofErr w:type="spellEnd"/>
      <w:r>
        <w:rPr>
          <w:b/>
        </w:rPr>
        <w:t>, Debut</w:t>
      </w:r>
      <w:r>
        <w:t xml:space="preserve"> para la captura el escritorio en video.</w:t>
      </w:r>
    </w:p>
    <w:p w:rsidR="005568DF" w:rsidRDefault="00F15437">
      <w:pPr>
        <w:pStyle w:val="normal0"/>
        <w:numPr>
          <w:ilvl w:val="0"/>
          <w:numId w:val="6"/>
        </w:numPr>
        <w:jc w:val="both"/>
      </w:pPr>
      <w:r>
        <w:t xml:space="preserve">Plataformas como </w:t>
      </w:r>
      <w:r>
        <w:rPr>
          <w:b/>
        </w:rPr>
        <w:t xml:space="preserve">Moodle </w:t>
      </w:r>
      <w:r>
        <w:t xml:space="preserve">del IES Santiago Hernández, </w:t>
      </w:r>
      <w:proofErr w:type="spellStart"/>
      <w:r>
        <w:rPr>
          <w:b/>
        </w:rPr>
        <w:t>Aramoodle</w:t>
      </w:r>
      <w:proofErr w:type="spellEnd"/>
      <w:r>
        <w:t xml:space="preserve">, </w:t>
      </w:r>
      <w:proofErr w:type="spellStart"/>
      <w:r>
        <w:rPr>
          <w:b/>
        </w:rPr>
        <w:t>GitHub</w:t>
      </w:r>
      <w:proofErr w:type="spellEnd"/>
      <w:r>
        <w:rPr>
          <w:b/>
        </w:rPr>
        <w:t xml:space="preserve"> </w:t>
      </w:r>
      <w:r>
        <w:t xml:space="preserve">o </w:t>
      </w:r>
      <w:proofErr w:type="spellStart"/>
      <w:r>
        <w:rPr>
          <w:b/>
        </w:rPr>
        <w:t>Classroom</w:t>
      </w:r>
      <w:proofErr w:type="spellEnd"/>
      <w:r>
        <w:rPr>
          <w:b/>
        </w:rPr>
        <w:t xml:space="preserve"> </w:t>
      </w:r>
      <w:r>
        <w:t>de Google para la distribución de apuntes, videos explicativos, presentaciones, documentos, enunciados de tareas y ejercicios y para la recogida de los mismos.</w:t>
      </w: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Control de modificaciones</w:t>
      </w:r>
      <w:r>
        <w:rPr>
          <w:b/>
          <w:sz w:val="36"/>
          <w:szCs w:val="36"/>
        </w:rPr>
        <w:tab/>
      </w:r>
    </w:p>
    <w:p w:rsidR="005568DF" w:rsidRDefault="005568DF">
      <w:pPr>
        <w:pStyle w:val="normal0"/>
        <w:jc w:val="center"/>
      </w:pPr>
    </w:p>
    <w:p w:rsidR="005568DF" w:rsidRDefault="005568DF">
      <w:pPr>
        <w:pStyle w:val="normal0"/>
        <w:jc w:val="center"/>
      </w:pPr>
    </w:p>
    <w:tbl>
      <w:tblPr>
        <w:tblStyle w:val="a4"/>
        <w:tblW w:w="1062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055"/>
        <w:gridCol w:w="8565"/>
      </w:tblGrid>
      <w:tr w:rsidR="005568DF">
        <w:trPr>
          <w:trHeight w:val="65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68DF" w:rsidRDefault="00F15437">
            <w:pPr>
              <w:pStyle w:val="normal0"/>
              <w:spacing w:before="240" w:after="240" w:line="480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68DF" w:rsidRDefault="00F15437">
            <w:pPr>
              <w:pStyle w:val="normal0"/>
              <w:spacing w:before="240" w:after="240" w:line="480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Descripción de la modificación</w:t>
            </w:r>
          </w:p>
        </w:tc>
      </w:tr>
      <w:tr w:rsidR="005568DF">
        <w:trPr>
          <w:trHeight w:val="186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68DF" w:rsidRDefault="00F15437">
            <w:pPr>
              <w:pStyle w:val="normal0"/>
              <w:spacing w:before="240" w:after="240"/>
              <w:ind w:left="180"/>
              <w:jc w:val="center"/>
            </w:pPr>
            <w:r>
              <w:t>05-05-2020</w:t>
            </w:r>
          </w:p>
        </w:tc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68DF" w:rsidRDefault="00F15437">
            <w:pPr>
              <w:pStyle w:val="normal0"/>
              <w:spacing w:before="240" w:after="240"/>
              <w:ind w:left="180"/>
              <w:jc w:val="both"/>
            </w:pPr>
            <w:r>
              <w:t>Actualización de la enseñanza y de las comunicaciones a la modalidad online y flexibilización de los procesos de evaluación, promoción y titulación para la adecuación al estado de alarma y de confinamiento por el COVID-19</w:t>
            </w:r>
          </w:p>
          <w:p w:rsidR="005568DF" w:rsidRDefault="00F15437">
            <w:pPr>
              <w:pStyle w:val="normal0"/>
              <w:spacing w:before="240" w:after="240"/>
              <w:ind w:left="180"/>
              <w:jc w:val="both"/>
            </w:pPr>
            <w:r>
              <w:t>Sufren modificaciones los siguientes apartados:</w:t>
            </w:r>
          </w:p>
          <w:p w:rsidR="005568DF" w:rsidRDefault="00F1543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</w:pPr>
            <w:r>
              <w:t xml:space="preserve">Organización, secuenciación y </w:t>
            </w:r>
            <w:proofErr w:type="spellStart"/>
            <w:r>
              <w:t>temporalización</w:t>
            </w:r>
            <w:proofErr w:type="spellEnd"/>
            <w:r>
              <w:t xml:space="preserve"> de los contenidos en unidades didácticas.</w:t>
            </w:r>
          </w:p>
          <w:p w:rsidR="005568DF" w:rsidRDefault="00F1543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Principios metodológicos de carácter general.</w:t>
            </w:r>
          </w:p>
          <w:p w:rsidR="005568DF" w:rsidRDefault="00F1543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Criterios de evaluación y calificación del módulo.</w:t>
            </w:r>
          </w:p>
          <w:p w:rsidR="005568DF" w:rsidRDefault="00F1543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Resultados de aprendizaje y criterios de evaluación mínimos asociados.</w:t>
            </w:r>
          </w:p>
          <w:p w:rsidR="005568DF" w:rsidRDefault="00F1543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Procedimientos e instrumentos de evaluación.</w:t>
            </w:r>
          </w:p>
          <w:p w:rsidR="005568DF" w:rsidRDefault="00F1543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Materiales y recursos didácticos.</w:t>
            </w:r>
          </w:p>
          <w:p w:rsidR="005568DF" w:rsidRDefault="00F1543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</w:pPr>
            <w:r>
              <w:t>Actividades de orientación y apoyo encaminadas a la superación de los módulos profesionales pendientes.</w:t>
            </w:r>
          </w:p>
        </w:tc>
      </w:tr>
    </w:tbl>
    <w:p w:rsidR="005568DF" w:rsidRDefault="005568DF">
      <w:pPr>
        <w:pStyle w:val="normal0"/>
        <w:jc w:val="center"/>
      </w:pPr>
    </w:p>
    <w:sectPr w:rsidR="005568DF" w:rsidSect="005568DF">
      <w:pgSz w:w="11909" w:h="16834"/>
      <w:pgMar w:top="566" w:right="690" w:bottom="1440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FB0"/>
    <w:multiLevelType w:val="hybridMultilevel"/>
    <w:tmpl w:val="00000005"/>
    <w:lvl w:ilvl="0" w:tplc="1C00A8E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EA147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2420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646C5E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681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998781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E56E39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22EE02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5EF9C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9C86454"/>
    <w:multiLevelType w:val="multilevel"/>
    <w:tmpl w:val="8E54BD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73F5569"/>
    <w:multiLevelType w:val="multilevel"/>
    <w:tmpl w:val="C67E442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nsid w:val="37FE3E26"/>
    <w:multiLevelType w:val="multilevel"/>
    <w:tmpl w:val="E1EE26B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nsid w:val="4A450838"/>
    <w:multiLevelType w:val="multilevel"/>
    <w:tmpl w:val="D44A97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5D7178A9"/>
    <w:multiLevelType w:val="multilevel"/>
    <w:tmpl w:val="7F0A23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6DBA53CC"/>
    <w:multiLevelType w:val="multilevel"/>
    <w:tmpl w:val="F6501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85246F0"/>
    <w:multiLevelType w:val="multilevel"/>
    <w:tmpl w:val="50E83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568DF"/>
    <w:rsid w:val="00090F12"/>
    <w:rsid w:val="00114623"/>
    <w:rsid w:val="001909CA"/>
    <w:rsid w:val="00233B11"/>
    <w:rsid w:val="00293BAB"/>
    <w:rsid w:val="003A7292"/>
    <w:rsid w:val="004D0574"/>
    <w:rsid w:val="005568DF"/>
    <w:rsid w:val="005D3CFD"/>
    <w:rsid w:val="006D3CF9"/>
    <w:rsid w:val="007A35A1"/>
    <w:rsid w:val="00854E49"/>
    <w:rsid w:val="008F4A7D"/>
    <w:rsid w:val="00AC5A2F"/>
    <w:rsid w:val="00B71C4B"/>
    <w:rsid w:val="00B73200"/>
    <w:rsid w:val="00B90630"/>
    <w:rsid w:val="00C11B97"/>
    <w:rsid w:val="00DA5AC9"/>
    <w:rsid w:val="00DA6B26"/>
    <w:rsid w:val="00DC5F76"/>
    <w:rsid w:val="00E73CBD"/>
    <w:rsid w:val="00F15437"/>
    <w:rsid w:val="00FA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11"/>
  </w:style>
  <w:style w:type="paragraph" w:styleId="Ttulo1">
    <w:name w:val="heading 1"/>
    <w:basedOn w:val="normal0"/>
    <w:next w:val="normal0"/>
    <w:rsid w:val="00556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556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556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556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5568D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556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568DF"/>
  </w:style>
  <w:style w:type="table" w:customStyle="1" w:styleId="TableNormal">
    <w:name w:val="Table Normal"/>
    <w:rsid w:val="00556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568D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556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56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56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56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56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56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56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Gozalo</dc:creator>
  <cp:lastModifiedBy>Javier Gozalo</cp:lastModifiedBy>
  <cp:revision>4</cp:revision>
  <dcterms:created xsi:type="dcterms:W3CDTF">2020-05-12T09:15:00Z</dcterms:created>
  <dcterms:modified xsi:type="dcterms:W3CDTF">2020-05-12T09:35:00Z</dcterms:modified>
</cp:coreProperties>
</file>